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Richieste accertamento con adesione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contribuente, al quale sia stato notificato avviso di accertamento avente per oggetto aree edificabili, puo' formulare, prima dellimpugnazione dell'atto, richiesta di accertamento con adesione in carta libera.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L'accertamento con adesione presuppone la presenza di materia concordabile e quindi di elementi di fatto suscettibili di apprezzamento valutativo: oggetto dell'accertamento con adesione puo' essere solo il valore d</w:t>
            </w:r>
            <w:r>
              <w:rPr>
                <w:rFonts w:ascii="Arial" w:hAnsi="Arial"/>
              </w:rPr>
              <w:t>elle aree edificabili accertato. Esulano dal campo applicativo dell'istituto le questioni cossiddette "di diritto" e tutte le fattispecie nelle quali l'obbligazione tributaria e' determinatabile sulla base di elementi certi.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C47AC" w:rsidRDefault="009C47AC" w:rsidP="009C47A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F964E1" w:rsidRDefault="009C47AC" w:rsidP="009C47A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 regolamento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 precisa che la domanda di accertamento con adesione non fa venire meno la possibilita' di impugnare l'avviso di accertamento avanti la Commissione Tributaria Provinciale nei termini di legge.</w:t>
            </w:r>
          </w:p>
          <w:p w:rsidR="00F964E1" w:rsidRDefault="009C47AC">
            <w:pPr>
              <w:jc w:val="both"/>
            </w:pPr>
            <w:r>
              <w:rPr>
                <w:rFonts w:ascii="Arial" w:hAnsi="Arial"/>
              </w:rPr>
              <w:t xml:space="preserve">L'impugnazione dell'avviso, successiva alla presentazione della domanda di accertamento con adesione, comporta </w:t>
            </w:r>
            <w:r>
              <w:rPr>
                <w:rFonts w:ascii="Arial" w:hAnsi="Arial"/>
              </w:rPr>
              <w:t>rinuncia alla richiesta di definizione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C47A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C47AC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964E1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83A6D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2026-06-12T19:40:00Z</dcterms:modified>
</cp:coreProperties>
</file>